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3" w:rsidRDefault="00EC70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0E3" w:rsidRDefault="00EC70E3">
      <w:pPr>
        <w:pStyle w:val="ConsPlusNormal"/>
        <w:jc w:val="both"/>
        <w:outlineLvl w:val="0"/>
      </w:pPr>
    </w:p>
    <w:p w:rsidR="00EC70E3" w:rsidRDefault="00EC70E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C70E3" w:rsidRDefault="00EC70E3">
      <w:pPr>
        <w:pStyle w:val="ConsPlusTitle"/>
        <w:jc w:val="center"/>
      </w:pPr>
      <w:r>
        <w:t>РОССИЙСКОЙ ФЕДЕРАЦИИ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right"/>
      </w:pPr>
      <w:r>
        <w:t>Утверждаю</w:t>
      </w:r>
    </w:p>
    <w:p w:rsidR="00EC70E3" w:rsidRDefault="00EC70E3">
      <w:pPr>
        <w:pStyle w:val="ConsPlusNormal"/>
        <w:jc w:val="right"/>
      </w:pPr>
      <w:r>
        <w:t>Руководитель Федеральной службы</w:t>
      </w:r>
    </w:p>
    <w:p w:rsidR="00EC70E3" w:rsidRDefault="00EC70E3">
      <w:pPr>
        <w:pStyle w:val="ConsPlusNormal"/>
        <w:jc w:val="right"/>
      </w:pPr>
      <w:r>
        <w:t>по надзору в сфере защиты прав</w:t>
      </w:r>
    </w:p>
    <w:p w:rsidR="00EC70E3" w:rsidRDefault="00EC70E3">
      <w:pPr>
        <w:pStyle w:val="ConsPlusNormal"/>
        <w:jc w:val="right"/>
      </w:pPr>
      <w:r>
        <w:t>потребителей и благополучия человека,</w:t>
      </w:r>
    </w:p>
    <w:p w:rsidR="00EC70E3" w:rsidRDefault="00EC70E3">
      <w:pPr>
        <w:pStyle w:val="ConsPlusNormal"/>
        <w:jc w:val="right"/>
      </w:pPr>
      <w:r>
        <w:t>Главный государственный</w:t>
      </w:r>
    </w:p>
    <w:p w:rsidR="00EC70E3" w:rsidRDefault="00EC70E3">
      <w:pPr>
        <w:pStyle w:val="ConsPlusNormal"/>
        <w:jc w:val="right"/>
      </w:pPr>
      <w:r>
        <w:t>санитарный врач</w:t>
      </w:r>
    </w:p>
    <w:p w:rsidR="00EC70E3" w:rsidRDefault="00EC70E3">
      <w:pPr>
        <w:pStyle w:val="ConsPlusNormal"/>
        <w:jc w:val="right"/>
      </w:pPr>
      <w:r>
        <w:t>Российской Федерации</w:t>
      </w:r>
    </w:p>
    <w:p w:rsidR="00EC70E3" w:rsidRDefault="00EC70E3">
      <w:pPr>
        <w:pStyle w:val="ConsPlusNormal"/>
        <w:jc w:val="right"/>
      </w:pPr>
      <w:r>
        <w:t>А.Ю.ПОПОВА</w:t>
      </w:r>
    </w:p>
    <w:p w:rsidR="00EC70E3" w:rsidRDefault="00EC70E3">
      <w:pPr>
        <w:pStyle w:val="ConsPlusNormal"/>
        <w:jc w:val="right"/>
      </w:pPr>
      <w:r>
        <w:t>17 мая 2021 г.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</w:pPr>
      <w:r>
        <w:t>2.4. ГИГИЕНА ДЕТЕЙ И ПОДРОСТКОВ</w:t>
      </w:r>
    </w:p>
    <w:p w:rsidR="00EC70E3" w:rsidRDefault="00EC70E3">
      <w:pPr>
        <w:pStyle w:val="ConsPlusTitle"/>
        <w:jc w:val="center"/>
      </w:pPr>
    </w:p>
    <w:p w:rsidR="00EC70E3" w:rsidRDefault="00EC70E3">
      <w:pPr>
        <w:pStyle w:val="ConsPlusTitle"/>
        <w:jc w:val="center"/>
      </w:pPr>
      <w:r>
        <w:t>МЕТОДИЧЕСКИЕ РЕКОМЕНДАЦИИ</w:t>
      </w:r>
    </w:p>
    <w:p w:rsidR="00EC70E3" w:rsidRDefault="00EC70E3">
      <w:pPr>
        <w:pStyle w:val="ConsPlusTitle"/>
        <w:jc w:val="center"/>
      </w:pPr>
      <w:r>
        <w:t xml:space="preserve">ПО ОБЕСПЕЧЕНИЮ САНИТАРНО-ЭПИДЕМИОЛОГИЧЕСКИХ </w:t>
      </w:r>
      <w:hyperlink r:id="rId5" w:history="1">
        <w:r>
          <w:rPr>
            <w:color w:val="0000FF"/>
          </w:rPr>
          <w:t>ТРЕБОВАНИЙ</w:t>
        </w:r>
      </w:hyperlink>
    </w:p>
    <w:p w:rsidR="00EC70E3" w:rsidRDefault="00EC70E3">
      <w:pPr>
        <w:pStyle w:val="ConsPlusTitle"/>
        <w:jc w:val="center"/>
      </w:pPr>
      <w:r>
        <w:t>К ОРГАНИЗАЦИЯМ ВОСПИТАНИЯ И ОБУЧЕНИЯ, ОТДЫХА</w:t>
      </w:r>
    </w:p>
    <w:p w:rsidR="00EC70E3" w:rsidRDefault="00EC70E3">
      <w:pPr>
        <w:pStyle w:val="ConsPlusTitle"/>
        <w:jc w:val="center"/>
      </w:pPr>
      <w:r>
        <w:t>И ОЗДОРОВЛЕНИЯ ДЕТЕЙ И МОЛОДЕЖИ</w:t>
      </w:r>
    </w:p>
    <w:p w:rsidR="00EC70E3" w:rsidRDefault="00EC70E3">
      <w:pPr>
        <w:pStyle w:val="ConsPlusTitle"/>
        <w:jc w:val="center"/>
      </w:pPr>
    </w:p>
    <w:p w:rsidR="00EC70E3" w:rsidRDefault="00EC70E3">
      <w:pPr>
        <w:pStyle w:val="ConsPlusTitle"/>
        <w:jc w:val="center"/>
      </w:pPr>
      <w:r>
        <w:t>МЕТОДИЧЕСКИЕ РЕКОМЕНДАЦИИ</w:t>
      </w:r>
    </w:p>
    <w:p w:rsidR="00EC70E3" w:rsidRDefault="00EC70E3">
      <w:pPr>
        <w:pStyle w:val="ConsPlusTitle"/>
        <w:jc w:val="center"/>
      </w:pPr>
      <w:r>
        <w:t>МР 2.4.0242-21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17 мая 2021 г.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bookmarkStart w:id="0" w:name="P30"/>
      <w:bookmarkEnd w:id="0"/>
      <w:r>
        <w:t>1.1. Настоящие методические рекомендации (далее - МР) разработаны в целях охраны здоровья детей и молодежи, предотвращения инфекционных, массовых неинфекционных заболеваний (отравлений), обеспечения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молодежи, организации и проведения санитарно-противоэпидемических (профилактических) меры при организации перевозок организованных групп детей железнодорожным транспортом.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1.2. МР могут быть использованы гражданами, юридическими лицами и индивидуальными предпринимателями при осуществлении деятельности, предусмотренной </w:t>
      </w:r>
      <w:hyperlink w:anchor="P30" w:history="1">
        <w:r>
          <w:rPr>
            <w:color w:val="0000FF"/>
          </w:rPr>
          <w:t>пунктом 1.1</w:t>
        </w:r>
      </w:hyperlink>
      <w:r>
        <w:t>, в том числе при проектировании, строительстве и реконструкции организаций воспитания и обучения, отдыха и оздоровления детей и молодежи.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lastRenderedPageBreak/>
        <w:t xml:space="preserve">1.3. Здания и помещения для воспитания и обучения, отдыха и оздоровления детей и молодежи не рекомендуется использовать для работ и услуг, не связанных с услугами, предусмотренными </w:t>
      </w:r>
      <w:hyperlink w:anchor="P30" w:history="1">
        <w:r>
          <w:rPr>
            <w:color w:val="0000FF"/>
          </w:rPr>
          <w:t>пунктом 1.1</w:t>
        </w:r>
      </w:hyperlink>
      <w:r>
        <w:t>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1.4. Производственный контроль по основным факторам, влияющим на здоровье детей (освещенность, микроклимат, коэффициент пульсации, рассаживание детей в соответствии с росто-возрастными особенностями детей и требованиями эргономики и др.), рекомендуется проводить в соответствии с </w:t>
      </w:r>
      <w:hyperlink w:anchor="P93" w:history="1">
        <w:r>
          <w:rPr>
            <w:color w:val="0000FF"/>
          </w:rPr>
          <w:t>приложением 1</w:t>
        </w:r>
      </w:hyperlink>
      <w:r>
        <w:t xml:space="preserve"> к настоящим МР.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II. Устройство и содержание территории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2.1. При выборе территории для осуществления деятельности образовательной организации до заключения договора аренды рекомендуется оценить ее состояние и соответствие санитарно-эпидемиологическим требованиям. При несоответствии арендуемой территории договор аренды не заключается.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2.2. В загородных стационарных детских оздоровительных лагерях с круглосуточным пребыванием специально установленное место для встречи детей с посетителями, в том числе с родителями (законными представителями), рекомендуется устраивать в сооружении, защищенном от осадков, и оборудовать местами для сидения.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III. Оборудование помещений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3.1. Рекомендуется проводить постепенную замену оборудования, установленного в соответствии с проектом или закупленного ранее, в том числе по истечении срока эксплуатации или выхода из строя.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3.2. Светопроемы учебных помещений рекомендуется оборудовать регулируемыми солнцезащитными устройствами с длиной не ниже уровня подоконника.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3.3. В туалетах дошкольных образовательных организаций и организаций, осуществляющих присмотр и уход за детьми, допускается использование одноразовых индивидуальных сидений (накладок) на унитаз.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3.4. Рекомендуется постоянное наличие туалетной бумаги в туалетной кабине.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3.5. В специализированных помещениях (кабинет изобразительного искусства, музыкальный, мастерские) допускается использование специальной мебели соответствующей росто-возрастным особенностям детей и требованиям эргономики.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3.6. При оборудовании лекционных залов (аудиторий) в организациях высшего образования скамьями рекомендуется оборудовать их устройствами для опоры спины (скамьи со спинкой).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3.7. При отсутствии в действующих образовательных организациях вытяжных шкафов над демонстрационными столами в лаборантской и учебном кабинете химии рекомендуется по изучаемым темам использовать видеоматериалы.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3.8. При одновременном размещении в кабинете, классе интерактивной учебной доски (размещается по центру фронтальной стены) и доски, для работы с которой используется мел или фломастеры, рекомендуется руководствоваться следующим: угол видимости доски от края доски длиной 3,0 м до середины крайнего места обучающегося за передним столом -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 Рекомендуется использование передвижных, раздвижных учебных досок.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3.9. В целях обеспечения безопасности для жизни и здоровья детей для отдельного захода </w:t>
      </w:r>
      <w:r>
        <w:lastRenderedPageBreak/>
        <w:t>на трансформируемые кровати не следует использовать подручные средства, технологически не связанные с изделием.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3.10. Рекомендуется оборудовать мастерские следующим образом: 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- не менее 0,8 м в передне-заднем направлении. 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оснащаются предохранительной сеткой высотой 0,65 - 0,7 м. Сверлильные, точильные и другие станки устанавливаются на специальном фундаменте и оборудуются предохранительными сетками, стеклами и местным освещением. Столярные и слесарные верстаки соответствуют росту обучающихся и оснащаются подставками для ног.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3.11. При трудовом обучении используются инструменты в соответствии с возрастом и ростом обучающихся (рекомендуемые размеры инструментов, используемых для столярных и слесарных работ, приведены в </w:t>
      </w:r>
      <w:hyperlink w:anchor="P138" w:history="1">
        <w:r>
          <w:rPr>
            <w:color w:val="0000FF"/>
          </w:rPr>
          <w:t>приложении 2</w:t>
        </w:r>
      </w:hyperlink>
      <w:r>
        <w:t xml:space="preserve"> к настоящим МР).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IV. Организация отопления, вентиляции, кондиционирования</w:t>
      </w:r>
    </w:p>
    <w:p w:rsidR="00EC70E3" w:rsidRDefault="00EC70E3">
      <w:pPr>
        <w:pStyle w:val="ConsPlusTitle"/>
        <w:jc w:val="center"/>
      </w:pPr>
      <w:r>
        <w:t>воздуха, естественного и искусственного освещения помещений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4.1. Для контроля за температурой воздуха рекомендуется спальные помещения, групповые, кабинеты, классы оборудовать бытовым термометром, прикрепленным на внутренней стене на высоте 0,8 - 1,5 м в зависимости от роста детей.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4.2. Проветривание в присутствии детей проводится в помещениях, оборудованных форточками или фрамугами, находящимися в верхней части окна в случае превышения максимально допустимой температуры в помещении.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4.3. При проветривании в холодный период года кратковременное снижение температуры воздуха в помещении допускается не более чем на 2 - 4 °C.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4.4. В помещениях спален сквозное проветривание проводится до дневного сна.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(при их устройстве в верхней части окна) открываются с одной стороны и закрывают за 30 минут до подъема.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4.5. При глубине класса более 6 м правосторонний подсвет рекомендуется организовать через рекреации (коридоры), имеющие естественное освещение.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4.6. В целях охраны здоровья детей, для предупреждения перегрева организма детей инфракрасные отопительные приборы не применяются.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V. Организация режима обучения, воспитания,</w:t>
      </w:r>
    </w:p>
    <w:p w:rsidR="00EC70E3" w:rsidRDefault="00EC70E3">
      <w:pPr>
        <w:pStyle w:val="ConsPlusTitle"/>
        <w:jc w:val="center"/>
      </w:pPr>
      <w:r>
        <w:t>отдыха, оздоровления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5.1. Учащимся 1 класса рекомендуется не задавать домашнее задание и не оценивать уровень знаний в баллах.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5.2. Для профилактики нарушений осанки, переутомления, сохранения оптимального уровня работоспособности учащихся рекомендуется проведение комплексов физкультурных минуток. Для проведения физкультминуток следует руководствоваться </w:t>
      </w:r>
      <w:hyperlink w:anchor="P283" w:history="1">
        <w:r>
          <w:rPr>
            <w:color w:val="0000FF"/>
          </w:rPr>
          <w:t>приложением 3</w:t>
        </w:r>
      </w:hyperlink>
      <w:r>
        <w:t xml:space="preserve"> к настоящим МР.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lastRenderedPageBreak/>
        <w:t>5.3. Рекомендуется не проводить прогулки для детей до 4 лет при температуре воздуха ниже минус 15 °C и скорости ветра более 15 м/с, а для детей 5 - 7 лет - при температуре воздуха ниже минус 20 °C и скорости ветра более 15 м/с.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5.4. В организациях отдыха детей и их оздоровления с дневным пребыванием рекомендуется продолжительность оздоровительной смены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рекомендуется не менее 7 календарных дней.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5.5. Купание детей в открытых водоемах в организациях отдыха и оздоровления рекомендуется осуществлять в специально отведенных и оборудованных местах, оборудованных навесами от солнца, кабинами для переодевания, туалетами. Купание рекомендуется проводить в солнечные и безветренные дни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Рекомендуется организация купания не менее чем через 30 минут после приема пищи.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5.6. При купании в бассейне детей дошкольного возраста рекомендуется следующая продолжительность нахождения в бассейне в зависимости от возраста детей: в младшей группе - 15 - 20 мин, в средней группе - 20 - 25 мин, в старшей группе - 25 - 30 мин, в подготовительной группе - 25 - 30 мин. В целях предупреждения переохлаждения детей прогулку после плавания в бассейне рекомендуется проводить не менее чем через 50 минут.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  <w:outlineLvl w:val="1"/>
      </w:pPr>
      <w:r>
        <w:t>VI. Содержание помещений, мебели, оборудования,</w:t>
      </w:r>
    </w:p>
    <w:p w:rsidR="00EC70E3" w:rsidRDefault="00EC70E3">
      <w:pPr>
        <w:pStyle w:val="ConsPlusTitle"/>
        <w:jc w:val="center"/>
      </w:pPr>
      <w:r>
        <w:t>инвентаря, игрушек в целях предотвращения и распространения</w:t>
      </w:r>
    </w:p>
    <w:p w:rsidR="00EC70E3" w:rsidRDefault="00EC70E3">
      <w:pPr>
        <w:pStyle w:val="ConsPlusTitle"/>
        <w:jc w:val="center"/>
      </w:pPr>
      <w:r>
        <w:t>инфекционных и неинфекционных заболеваний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ind w:firstLine="540"/>
        <w:jc w:val="both"/>
      </w:pPr>
      <w:r>
        <w:t>6.1. Бесконтактную термометрию сотрудникам детского учреждения рекомендуется проводить ответственным лицом, детям - воспитателем при их приеме в организацию.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6.2. Дезинфекцию воздушной среды приборами по обеззараживанию воздуха рекомендуется проводить в следующих помещениях: классах, кабинетах, игровых, мастерских, помещениях дополнительного образования, спортивных и музыкальных залах, помещениях для дневного сна (при его организации).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6.3. При использовании электронных игр и игрушек рекомендуется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6.4. Смену наматрасников рекомендуется проводить по мере загрязнения, стирку проводить в прачечной.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6.5. Не рекомендуется размещать аквариумы, животных, птиц в помещениях групповых.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right"/>
        <w:outlineLvl w:val="0"/>
      </w:pPr>
      <w:r>
        <w:t>Приложение 1</w:t>
      </w:r>
    </w:p>
    <w:p w:rsidR="00EC70E3" w:rsidRDefault="00EC70E3">
      <w:pPr>
        <w:pStyle w:val="ConsPlusNormal"/>
        <w:jc w:val="right"/>
      </w:pPr>
      <w:r>
        <w:t>к МР 2.4.0242-21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</w:pPr>
      <w:bookmarkStart w:id="1" w:name="P93"/>
      <w:bookmarkEnd w:id="1"/>
      <w:r>
        <w:t>РЕКОМЕНДУЕМАЯ НОМЕНКЛАТУРА, ОБЪЕМ И ПЕРИОДИЧНОСТЬ</w:t>
      </w:r>
    </w:p>
    <w:p w:rsidR="00EC70E3" w:rsidRDefault="00EC70E3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EC70E3" w:rsidRDefault="00EC70E3">
      <w:pPr>
        <w:pStyle w:val="ConsPlusTitle"/>
        <w:jc w:val="center"/>
      </w:pPr>
      <w:r>
        <w:t>В ОРГАНИЗАЦИЯХ ВОСПИТАНИЯ И ОБУЧЕНИЯ, ОТДЫХА</w:t>
      </w:r>
    </w:p>
    <w:p w:rsidR="00EC70E3" w:rsidRDefault="00EC70E3">
      <w:pPr>
        <w:pStyle w:val="ConsPlusTitle"/>
        <w:jc w:val="center"/>
      </w:pPr>
      <w:r>
        <w:lastRenderedPageBreak/>
        <w:t>И ОЗДОРОВЛЕНИЯ ДЕТЕЙ И МОЛОДЕЖИ</w:t>
      </w:r>
    </w:p>
    <w:p w:rsidR="00EC70E3" w:rsidRDefault="00EC7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835"/>
        <w:gridCol w:w="1512"/>
        <w:gridCol w:w="2041"/>
      </w:tblGrid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Оценка параметров микроклимата (температура, относительная влажность)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Классы, кабинеты, спортивный зал, мастерские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10% помещений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2 раза в год (в холодный и теплый периоды)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Оценка состояния воздушной среды помещений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Классы, кабинеты, классы ПЭВМ, мастерские, залы спортивный, музыкальный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10% помещений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После ремонтных работ, установки новой мебели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Контроль уровня искусственной освещенности, пульсации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Классы, кабинеты, оборудованные персональными ЭСО, мастерские, залы спортивный, музыкальный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20% помещений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1 раз в год, в темное время суток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Оценка параметров электрических, магнитных, электромагнитных полей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 и кабинеты с ЭСО, мастерские (при наличии ЭСО)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20% классов и кабинетов, 100% мастерских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1 раз в год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Оценка параметров шума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 и кабинеты с ЭСО, мастерские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10% помещений, подлежащих оценке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1 раз в 2 года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Оценка уровней вибрации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Мастерские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Все помещения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1 раз в 2 года</w:t>
            </w:r>
          </w:p>
        </w:tc>
      </w:tr>
      <w:tr w:rsidR="00EC70E3">
        <w:tc>
          <w:tcPr>
            <w:tcW w:w="2665" w:type="dxa"/>
          </w:tcPr>
          <w:p w:rsidR="00EC70E3" w:rsidRDefault="00EC70E3">
            <w:pPr>
              <w:pStyle w:val="ConsPlusNormal"/>
              <w:jc w:val="both"/>
            </w:pPr>
            <w:r>
              <w:t>Контроль соответствия ученической мебели росто-возрастным особенностям детей и требованиям эргономики</w:t>
            </w:r>
          </w:p>
        </w:tc>
        <w:tc>
          <w:tcPr>
            <w:tcW w:w="2835" w:type="dxa"/>
          </w:tcPr>
          <w:p w:rsidR="00EC70E3" w:rsidRDefault="00EC70E3">
            <w:pPr>
              <w:pStyle w:val="ConsPlusNormal"/>
              <w:jc w:val="both"/>
            </w:pPr>
            <w:r>
              <w:t>Классы, кабинеты, игровые</w:t>
            </w:r>
          </w:p>
        </w:tc>
        <w:tc>
          <w:tcPr>
            <w:tcW w:w="1512" w:type="dxa"/>
          </w:tcPr>
          <w:p w:rsidR="00EC70E3" w:rsidRDefault="00EC70E3">
            <w:pPr>
              <w:pStyle w:val="ConsPlusNormal"/>
              <w:jc w:val="both"/>
            </w:pPr>
            <w:r>
              <w:t>Не менее 20% помещений</w:t>
            </w:r>
          </w:p>
        </w:tc>
        <w:tc>
          <w:tcPr>
            <w:tcW w:w="2041" w:type="dxa"/>
          </w:tcPr>
          <w:p w:rsidR="00EC70E3" w:rsidRDefault="00EC70E3">
            <w:pPr>
              <w:pStyle w:val="ConsPlusNormal"/>
              <w:jc w:val="both"/>
            </w:pPr>
            <w:r>
              <w:t>2 раза в год</w:t>
            </w:r>
          </w:p>
        </w:tc>
      </w:tr>
    </w:tbl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right"/>
        <w:outlineLvl w:val="0"/>
      </w:pPr>
      <w:r>
        <w:t>Приложение 2</w:t>
      </w:r>
    </w:p>
    <w:p w:rsidR="00EC70E3" w:rsidRDefault="00EC70E3">
      <w:pPr>
        <w:pStyle w:val="ConsPlusNormal"/>
        <w:jc w:val="right"/>
      </w:pPr>
      <w:r>
        <w:t>к МР 2.4.0242-21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</w:pPr>
      <w:bookmarkStart w:id="2" w:name="P138"/>
      <w:bookmarkEnd w:id="2"/>
      <w:r>
        <w:t>РЕКОМЕНДУЕМЫЕ РАЗМЕРЫ</w:t>
      </w:r>
    </w:p>
    <w:p w:rsidR="00EC70E3" w:rsidRDefault="00EC70E3">
      <w:pPr>
        <w:pStyle w:val="ConsPlusTitle"/>
        <w:jc w:val="center"/>
      </w:pPr>
      <w:r>
        <w:t>ИНСТРУМЕНТОВ, ИСПОЛЬЗУЕМЫХ ДЛЯ СТОЛЯРНЫХ И СЛЕСАРНЫХ РАБОТ</w:t>
      </w:r>
    </w:p>
    <w:p w:rsidR="00EC70E3" w:rsidRDefault="00EC7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405"/>
        <w:gridCol w:w="2154"/>
      </w:tblGrid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4559" w:type="dxa"/>
            <w:gridSpan w:val="2"/>
          </w:tcPr>
          <w:p w:rsidR="00EC70E3" w:rsidRDefault="00EC70E3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13 - 15 лет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lastRenderedPageBreak/>
              <w:t>Ножовка столярная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полотна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320 - 350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шаг зубьев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5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ручки (форма призмы)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90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со стороны полотна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15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со стороны ладони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24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со стороны боковой грани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31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Шерхебель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колодки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колодки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45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железки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180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железки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Рубанок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244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56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металлической колодки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металлической колодки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52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железки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180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ширина железки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40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Молоток столярный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Масса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300 г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сечение ручки в месте хвата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28 x 22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Рашпиль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250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120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34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Клещи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рычагов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 xml:space="preserve">расстояние между внешними сторонами </w:t>
            </w:r>
            <w:r>
              <w:lastRenderedPageBreak/>
              <w:t>рычагов в месте хвата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lastRenderedPageBreak/>
              <w:t>27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27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lastRenderedPageBreak/>
              <w:t>Напильники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250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120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34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Ножовка слесарная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полотна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275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120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34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Молоток слесарный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</w:pPr>
          </w:p>
        </w:tc>
        <w:tc>
          <w:tcPr>
            <w:tcW w:w="2154" w:type="dxa"/>
          </w:tcPr>
          <w:p w:rsidR="00EC70E3" w:rsidRDefault="00EC70E3">
            <w:pPr>
              <w:pStyle w:val="ConsPlusNormal"/>
            </w:pP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Масса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400 г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Длина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300 - 320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сечение ручки в месте хвата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28 x 22 мм</w:t>
            </w:r>
          </w:p>
        </w:tc>
      </w:tr>
      <w:tr w:rsidR="00EC70E3">
        <w:tc>
          <w:tcPr>
            <w:tcW w:w="4479" w:type="dxa"/>
          </w:tcPr>
          <w:p w:rsidR="00EC70E3" w:rsidRDefault="00EC70E3">
            <w:pPr>
              <w:pStyle w:val="ConsPlusNormal"/>
              <w:jc w:val="both"/>
            </w:pPr>
            <w:r>
              <w:t>Ножницы по металлу Длина режущей части</w:t>
            </w:r>
          </w:p>
        </w:tc>
        <w:tc>
          <w:tcPr>
            <w:tcW w:w="2405" w:type="dxa"/>
          </w:tcPr>
          <w:p w:rsidR="00EC70E3" w:rsidRDefault="00EC70E3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2154" w:type="dxa"/>
          </w:tcPr>
          <w:p w:rsidR="00EC70E3" w:rsidRDefault="00EC70E3">
            <w:pPr>
              <w:pStyle w:val="ConsPlusNormal"/>
              <w:jc w:val="center"/>
            </w:pPr>
            <w:r>
              <w:t>60 мм</w:t>
            </w:r>
          </w:p>
        </w:tc>
      </w:tr>
    </w:tbl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right"/>
        <w:outlineLvl w:val="0"/>
      </w:pPr>
      <w:r>
        <w:t>Приложение 3</w:t>
      </w:r>
    </w:p>
    <w:p w:rsidR="00EC70E3" w:rsidRDefault="00EC70E3">
      <w:pPr>
        <w:pStyle w:val="ConsPlusNormal"/>
        <w:jc w:val="right"/>
      </w:pPr>
      <w:r>
        <w:t>к МР 2.4.0242-21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jc w:val="center"/>
      </w:pPr>
      <w:bookmarkStart w:id="3" w:name="P283"/>
      <w:bookmarkEnd w:id="3"/>
      <w:r>
        <w:t>КОМПЛЕКСЫ ФИЗКУЛЬТУРНЫХ МИНУТОК (ДАЛЕЕ - ФМ) И УПРАЖНЕНИЙ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ind w:firstLine="540"/>
        <w:jc w:val="both"/>
        <w:outlineLvl w:val="1"/>
      </w:pPr>
      <w:r>
        <w:t>ФМ для улучшения мозгового кровообращения.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ind w:firstLine="540"/>
        <w:jc w:val="both"/>
        <w:outlineLvl w:val="1"/>
      </w:pPr>
      <w:r>
        <w:t>ФМ для снятия утомления с плечевого пояса и рук.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 xml:space="preserve">2. И.п. - стоя или сидя, кисти тыльной стороной на поясе. 1 - 2 - свести локти вперед, голову </w:t>
      </w:r>
      <w:r>
        <w:lastRenderedPageBreak/>
        <w:t>наклонить вперед. 3 - 4 - локти назад, прогнуться. Повторить 6 - 8 раз, затем руки вниз и потрясти расслабленно. Темп медленный.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ind w:firstLine="540"/>
        <w:jc w:val="both"/>
        <w:outlineLvl w:val="1"/>
      </w:pPr>
      <w:r>
        <w:t>ФМ для снятия утомления с туловища.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ind w:firstLine="540"/>
        <w:jc w:val="both"/>
        <w:outlineLvl w:val="1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Title"/>
        <w:ind w:firstLine="540"/>
        <w:jc w:val="both"/>
        <w:outlineLvl w:val="1"/>
      </w:pPr>
      <w:r>
        <w:t>Рекомендуемый комплекс упражнений для глаз.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lastRenderedPageBreak/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EC70E3" w:rsidRDefault="00EC70E3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jc w:val="both"/>
      </w:pPr>
    </w:p>
    <w:p w:rsidR="00EC70E3" w:rsidRDefault="00EC7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AF9" w:rsidRDefault="00ED0AF9"/>
    <w:sectPr w:rsidR="00ED0AF9" w:rsidSect="00BA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70E3"/>
    <w:rsid w:val="00345783"/>
    <w:rsid w:val="0064788E"/>
    <w:rsid w:val="00EC70E3"/>
    <w:rsid w:val="00ED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ED39A0E1CA3FCAA2AA36F011FF94DC95BDD3C99F3F40B9A98CB8688484355EBF8CB0C365F82445226432070268F27923546C85BF1D527PCa2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BoldyrevaOS</dc:creator>
  <cp:lastModifiedBy>BoldyrevaOS</cp:lastModifiedBy>
  <cp:revision>1</cp:revision>
  <dcterms:created xsi:type="dcterms:W3CDTF">2022-03-17T23:26:00Z</dcterms:created>
  <dcterms:modified xsi:type="dcterms:W3CDTF">2022-03-17T23:27:00Z</dcterms:modified>
</cp:coreProperties>
</file>